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E40729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BG</w:t>
      </w:r>
      <w:r w:rsidR="00C47C93">
        <w:rPr>
          <w:rFonts w:ascii="Arial" w:hAnsi="Arial" w:cs="Arial"/>
          <w:b/>
          <w:sz w:val="20"/>
          <w:szCs w:val="20"/>
        </w:rPr>
        <w:t>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47C93">
        <w:rPr>
          <w:rFonts w:ascii="Arial" w:hAnsi="Arial" w:cs="Arial"/>
          <w:sz w:val="20"/>
          <w:szCs w:val="20"/>
        </w:rPr>
        <w:t>29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40729" w:rsidRPr="00E40729">
        <w:rPr>
          <w:rFonts w:ascii="Arial" w:hAnsi="Arial" w:cs="Arial"/>
          <w:sz w:val="20"/>
          <w:szCs w:val="20"/>
        </w:rPr>
        <w:t>Bac Giang Clean Water Joint Stock Company</w:t>
      </w:r>
      <w:r w:rsidR="00E40729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D5097" w:rsidRDefault="00E40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729">
        <w:rPr>
          <w:rFonts w:ascii="Arial" w:hAnsi="Arial" w:cs="Arial"/>
          <w:sz w:val="20"/>
          <w:szCs w:val="20"/>
        </w:rPr>
        <w:t xml:space="preserve">On June 28, 2020, the </w:t>
      </w:r>
      <w:r w:rsidR="003D5097">
        <w:rPr>
          <w:rFonts w:ascii="Arial" w:hAnsi="Arial" w:cs="Arial"/>
          <w:sz w:val="20"/>
          <w:szCs w:val="20"/>
        </w:rPr>
        <w:t>annual General Meeting of Shareholders</w:t>
      </w:r>
      <w:r w:rsidRPr="00E40729">
        <w:rPr>
          <w:rFonts w:ascii="Arial" w:hAnsi="Arial" w:cs="Arial"/>
          <w:sz w:val="20"/>
          <w:szCs w:val="20"/>
        </w:rPr>
        <w:t xml:space="preserve"> of Bac Giang </w:t>
      </w:r>
      <w:r w:rsidR="003D5097">
        <w:rPr>
          <w:rFonts w:ascii="Arial" w:hAnsi="Arial" w:cs="Arial"/>
          <w:sz w:val="20"/>
          <w:szCs w:val="20"/>
        </w:rPr>
        <w:t xml:space="preserve">Clean </w:t>
      </w:r>
      <w:r w:rsidRPr="00E40729">
        <w:rPr>
          <w:rFonts w:ascii="Arial" w:hAnsi="Arial" w:cs="Arial"/>
          <w:sz w:val="20"/>
          <w:szCs w:val="20"/>
        </w:rPr>
        <w:t xml:space="preserve">Water Joint Stock Company was held with the participation of 237 shareholders and representatives of shareholders, </w:t>
      </w:r>
      <w:r w:rsidR="003D5097">
        <w:rPr>
          <w:rFonts w:ascii="Arial" w:hAnsi="Arial" w:cs="Arial"/>
          <w:sz w:val="20"/>
          <w:szCs w:val="20"/>
        </w:rPr>
        <w:t>owning and representing</w:t>
      </w:r>
      <w:r w:rsidRPr="00E40729">
        <w:rPr>
          <w:rFonts w:ascii="Arial" w:hAnsi="Arial" w:cs="Arial"/>
          <w:sz w:val="20"/>
          <w:szCs w:val="20"/>
        </w:rPr>
        <w:t xml:space="preserve"> 18,128,946 voting shares, </w:t>
      </w:r>
      <w:r w:rsidR="003D5097">
        <w:rPr>
          <w:rFonts w:ascii="Arial" w:hAnsi="Arial" w:cs="Arial"/>
          <w:sz w:val="20"/>
          <w:szCs w:val="20"/>
        </w:rPr>
        <w:t xml:space="preserve">accounting for </w:t>
      </w:r>
      <w:r w:rsidRPr="00E40729">
        <w:rPr>
          <w:rFonts w:ascii="Arial" w:hAnsi="Arial" w:cs="Arial"/>
          <w:sz w:val="20"/>
          <w:szCs w:val="20"/>
        </w:rPr>
        <w:t>99.88% o</w:t>
      </w:r>
      <w:r w:rsidR="003D5097">
        <w:rPr>
          <w:rFonts w:ascii="Arial" w:hAnsi="Arial" w:cs="Arial"/>
          <w:sz w:val="20"/>
          <w:szCs w:val="20"/>
        </w:rPr>
        <w:t>f the Company's voting shares</w:t>
      </w:r>
    </w:p>
    <w:p w:rsidR="00E87575" w:rsidRDefault="00E40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729">
        <w:rPr>
          <w:rFonts w:ascii="Arial" w:hAnsi="Arial" w:cs="Arial"/>
          <w:sz w:val="20"/>
          <w:szCs w:val="20"/>
        </w:rPr>
        <w:t xml:space="preserve">After listening to the contents of the </w:t>
      </w:r>
      <w:r w:rsidR="003D5097">
        <w:rPr>
          <w:rFonts w:ascii="Arial" w:hAnsi="Arial" w:cs="Arial"/>
          <w:sz w:val="20"/>
          <w:szCs w:val="20"/>
        </w:rPr>
        <w:t>r</w:t>
      </w:r>
      <w:r w:rsidRPr="00E40729">
        <w:rPr>
          <w:rFonts w:ascii="Arial" w:hAnsi="Arial" w:cs="Arial"/>
          <w:sz w:val="20"/>
          <w:szCs w:val="20"/>
        </w:rPr>
        <w:t xml:space="preserve">eports and the </w:t>
      </w:r>
      <w:r w:rsidR="003D5097">
        <w:rPr>
          <w:rFonts w:ascii="Arial" w:hAnsi="Arial" w:cs="Arial"/>
          <w:sz w:val="20"/>
          <w:szCs w:val="20"/>
        </w:rPr>
        <w:t>statements</w:t>
      </w:r>
      <w:r w:rsidRPr="00E40729">
        <w:rPr>
          <w:rFonts w:ascii="Arial" w:hAnsi="Arial" w:cs="Arial"/>
          <w:sz w:val="20"/>
          <w:szCs w:val="20"/>
        </w:rPr>
        <w:t>, the Meeting discussed and approve</w:t>
      </w:r>
      <w:r w:rsidR="00412CC2">
        <w:rPr>
          <w:rFonts w:ascii="Arial" w:hAnsi="Arial" w:cs="Arial"/>
          <w:sz w:val="20"/>
          <w:szCs w:val="20"/>
        </w:rPr>
        <w:t>d</w:t>
      </w:r>
      <w:r w:rsidRPr="00E40729">
        <w:rPr>
          <w:rFonts w:ascii="Arial" w:hAnsi="Arial" w:cs="Arial"/>
          <w:sz w:val="20"/>
          <w:szCs w:val="20"/>
        </w:rPr>
        <w:t xml:space="preserve"> the following contents: </w:t>
      </w:r>
    </w:p>
    <w:p w:rsidR="00E87575" w:rsidRDefault="00E8757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2019 r</w:t>
      </w:r>
      <w:r w:rsidR="00E40729" w:rsidRPr="00E40729">
        <w:rPr>
          <w:rFonts w:ascii="Arial" w:hAnsi="Arial" w:cs="Arial"/>
          <w:sz w:val="20"/>
          <w:szCs w:val="20"/>
        </w:rPr>
        <w:t xml:space="preserve">eports and the following 2020 plan: </w:t>
      </w:r>
    </w:p>
    <w:p w:rsidR="00E87575" w:rsidRDefault="00E40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729">
        <w:rPr>
          <w:rFonts w:ascii="Arial" w:hAnsi="Arial" w:cs="Arial"/>
          <w:sz w:val="20"/>
          <w:szCs w:val="20"/>
        </w:rPr>
        <w:t>-  Report on activit</w:t>
      </w:r>
      <w:r w:rsidR="00E87575">
        <w:rPr>
          <w:rFonts w:ascii="Arial" w:hAnsi="Arial" w:cs="Arial"/>
          <w:sz w:val="20"/>
          <w:szCs w:val="20"/>
        </w:rPr>
        <w:t>ies of the Board of Directors</w:t>
      </w:r>
    </w:p>
    <w:p w:rsidR="00E87575" w:rsidRDefault="00E40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729">
        <w:rPr>
          <w:rFonts w:ascii="Arial" w:hAnsi="Arial" w:cs="Arial"/>
          <w:sz w:val="20"/>
          <w:szCs w:val="20"/>
        </w:rPr>
        <w:t>- Report o</w:t>
      </w:r>
      <w:r w:rsidR="00E87575">
        <w:rPr>
          <w:rFonts w:ascii="Arial" w:hAnsi="Arial" w:cs="Arial"/>
          <w:sz w:val="20"/>
          <w:szCs w:val="20"/>
        </w:rPr>
        <w:t>n</w:t>
      </w:r>
      <w:r w:rsidRPr="00E40729">
        <w:rPr>
          <w:rFonts w:ascii="Arial" w:hAnsi="Arial" w:cs="Arial"/>
          <w:sz w:val="20"/>
          <w:szCs w:val="20"/>
        </w:rPr>
        <w:t xml:space="preserve"> the </w:t>
      </w:r>
      <w:r w:rsidR="00E87575">
        <w:rPr>
          <w:rFonts w:ascii="Arial" w:hAnsi="Arial" w:cs="Arial"/>
          <w:sz w:val="20"/>
          <w:szCs w:val="20"/>
        </w:rPr>
        <w:t xml:space="preserve">activities of the Management Board </w:t>
      </w:r>
    </w:p>
    <w:p w:rsidR="00E87575" w:rsidRDefault="00E8757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Audited financial state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ment</w:t>
      </w:r>
    </w:p>
    <w:p w:rsidR="00E87575" w:rsidRDefault="00E40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729">
        <w:rPr>
          <w:rFonts w:ascii="Arial" w:hAnsi="Arial" w:cs="Arial"/>
          <w:sz w:val="20"/>
          <w:szCs w:val="20"/>
        </w:rPr>
        <w:t xml:space="preserve">- </w:t>
      </w:r>
      <w:r w:rsidR="00E87575">
        <w:rPr>
          <w:rFonts w:ascii="Arial" w:hAnsi="Arial" w:cs="Arial"/>
          <w:sz w:val="20"/>
          <w:szCs w:val="20"/>
        </w:rPr>
        <w:t>Report of the Supervisory Board</w:t>
      </w:r>
    </w:p>
    <w:p w:rsidR="00E87575" w:rsidRDefault="00E40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729">
        <w:rPr>
          <w:rFonts w:ascii="Arial" w:hAnsi="Arial" w:cs="Arial"/>
          <w:sz w:val="20"/>
          <w:szCs w:val="20"/>
        </w:rPr>
        <w:t>*</w:t>
      </w:r>
      <w:r w:rsidR="00E87575">
        <w:rPr>
          <w:rFonts w:ascii="Arial" w:hAnsi="Arial" w:cs="Arial"/>
          <w:sz w:val="20"/>
          <w:szCs w:val="20"/>
        </w:rPr>
        <w:t xml:space="preserve"> Business and production plan for</w:t>
      </w:r>
      <w:r w:rsidRPr="00E40729">
        <w:rPr>
          <w:rFonts w:ascii="Arial" w:hAnsi="Arial" w:cs="Arial"/>
          <w:sz w:val="20"/>
          <w:szCs w:val="20"/>
        </w:rPr>
        <w:t xml:space="preserve"> 2020: </w:t>
      </w:r>
    </w:p>
    <w:p w:rsidR="00E87575" w:rsidRDefault="00E40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729">
        <w:rPr>
          <w:rFonts w:ascii="Arial" w:hAnsi="Arial" w:cs="Arial"/>
          <w:sz w:val="20"/>
          <w:szCs w:val="20"/>
        </w:rPr>
        <w:t xml:space="preserve">- Water revenue: </w:t>
      </w:r>
    </w:p>
    <w:p w:rsidR="00F83E13" w:rsidRDefault="00E40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729">
        <w:rPr>
          <w:rFonts w:ascii="Arial" w:hAnsi="Arial" w:cs="Arial"/>
          <w:sz w:val="20"/>
          <w:szCs w:val="20"/>
        </w:rPr>
        <w:t xml:space="preserve">+ Bac Giang: </w:t>
      </w:r>
      <w:r w:rsidR="00E87575">
        <w:rPr>
          <w:rFonts w:ascii="Arial" w:hAnsi="Arial" w:cs="Arial"/>
          <w:sz w:val="20"/>
          <w:szCs w:val="20"/>
        </w:rPr>
        <w:t>VND 159.240 b</w:t>
      </w:r>
      <w:r w:rsidRPr="00E40729">
        <w:rPr>
          <w:rFonts w:ascii="Arial" w:hAnsi="Arial" w:cs="Arial"/>
          <w:sz w:val="20"/>
          <w:szCs w:val="20"/>
        </w:rPr>
        <w:t xml:space="preserve">illion </w:t>
      </w:r>
    </w:p>
    <w:p w:rsidR="00F83E13" w:rsidRDefault="00E40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729">
        <w:rPr>
          <w:rFonts w:ascii="Arial" w:hAnsi="Arial" w:cs="Arial"/>
          <w:sz w:val="20"/>
          <w:szCs w:val="20"/>
        </w:rPr>
        <w:t xml:space="preserve">+ Luc Nam: </w:t>
      </w:r>
      <w:r w:rsidR="00F83E13">
        <w:rPr>
          <w:rFonts w:ascii="Arial" w:hAnsi="Arial" w:cs="Arial"/>
          <w:sz w:val="20"/>
          <w:szCs w:val="20"/>
        </w:rPr>
        <w:t>VND 4.</w:t>
      </w:r>
      <w:r w:rsidRPr="00E40729">
        <w:rPr>
          <w:rFonts w:ascii="Arial" w:hAnsi="Arial" w:cs="Arial"/>
          <w:sz w:val="20"/>
          <w:szCs w:val="20"/>
        </w:rPr>
        <w:t xml:space="preserve">389 </w:t>
      </w:r>
      <w:r w:rsidR="00F83E13">
        <w:rPr>
          <w:rFonts w:ascii="Arial" w:hAnsi="Arial" w:cs="Arial"/>
          <w:sz w:val="20"/>
          <w:szCs w:val="20"/>
        </w:rPr>
        <w:t>b</w:t>
      </w:r>
      <w:r w:rsidRPr="00E40729">
        <w:rPr>
          <w:rFonts w:ascii="Arial" w:hAnsi="Arial" w:cs="Arial"/>
          <w:sz w:val="20"/>
          <w:szCs w:val="20"/>
        </w:rPr>
        <w:t xml:space="preserve">illion </w:t>
      </w:r>
    </w:p>
    <w:p w:rsidR="00F83E13" w:rsidRDefault="00F83E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0729" w:rsidRPr="00E40729">
        <w:rPr>
          <w:rFonts w:ascii="Arial" w:hAnsi="Arial" w:cs="Arial"/>
          <w:sz w:val="20"/>
          <w:szCs w:val="20"/>
        </w:rPr>
        <w:t xml:space="preserve">Commercial water: </w:t>
      </w:r>
    </w:p>
    <w:p w:rsidR="00F83E13" w:rsidRDefault="00F83E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Bac Giang: 14.256 m</w:t>
      </w:r>
      <w:r w:rsidR="00E40729" w:rsidRPr="00E40729">
        <w:rPr>
          <w:rFonts w:ascii="Arial" w:hAnsi="Arial" w:cs="Arial"/>
          <w:sz w:val="20"/>
          <w:szCs w:val="20"/>
        </w:rPr>
        <w:t>illion</w:t>
      </w:r>
      <w:r>
        <w:rPr>
          <w:rFonts w:ascii="Arial" w:hAnsi="Arial" w:cs="Arial"/>
          <w:sz w:val="20"/>
          <w:szCs w:val="20"/>
        </w:rPr>
        <w:t xml:space="preserve"> m3</w:t>
      </w:r>
    </w:p>
    <w:p w:rsidR="00F83E13" w:rsidRDefault="00E40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729">
        <w:rPr>
          <w:rFonts w:ascii="Arial" w:hAnsi="Arial" w:cs="Arial"/>
          <w:sz w:val="20"/>
          <w:szCs w:val="20"/>
        </w:rPr>
        <w:t xml:space="preserve"> </w:t>
      </w:r>
      <w:r w:rsidR="00F83E13" w:rsidRPr="00E40729">
        <w:rPr>
          <w:rFonts w:ascii="Arial" w:hAnsi="Arial" w:cs="Arial"/>
          <w:sz w:val="20"/>
          <w:szCs w:val="20"/>
        </w:rPr>
        <w:t xml:space="preserve">+ Luc Nam: </w:t>
      </w:r>
      <w:r w:rsidR="00F83E13">
        <w:rPr>
          <w:rFonts w:ascii="Arial" w:hAnsi="Arial" w:cs="Arial"/>
          <w:sz w:val="20"/>
          <w:szCs w:val="20"/>
        </w:rPr>
        <w:t>418 thousand</w:t>
      </w:r>
      <w:r w:rsidRPr="00E40729">
        <w:rPr>
          <w:rFonts w:ascii="Arial" w:hAnsi="Arial" w:cs="Arial"/>
          <w:sz w:val="20"/>
          <w:szCs w:val="20"/>
        </w:rPr>
        <w:t xml:space="preserve"> m</w:t>
      </w:r>
      <w:r w:rsidR="00F83E13">
        <w:rPr>
          <w:rFonts w:ascii="Arial" w:hAnsi="Arial" w:cs="Arial"/>
          <w:sz w:val="20"/>
          <w:szCs w:val="20"/>
        </w:rPr>
        <w:t>3</w:t>
      </w:r>
      <w:r w:rsidRPr="00E40729">
        <w:rPr>
          <w:rFonts w:ascii="Arial" w:hAnsi="Arial" w:cs="Arial"/>
          <w:sz w:val="20"/>
          <w:szCs w:val="20"/>
        </w:rPr>
        <w:t xml:space="preserve"> </w:t>
      </w:r>
    </w:p>
    <w:p w:rsidR="006E40BA" w:rsidRDefault="00F83E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0729" w:rsidRPr="00E40729">
        <w:rPr>
          <w:rFonts w:ascii="Arial" w:hAnsi="Arial" w:cs="Arial"/>
          <w:sz w:val="20"/>
          <w:szCs w:val="20"/>
        </w:rPr>
        <w:t xml:space="preserve">Loss: </w:t>
      </w:r>
    </w:p>
    <w:p w:rsidR="006E40BA" w:rsidRDefault="00E40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729">
        <w:rPr>
          <w:rFonts w:ascii="Arial" w:hAnsi="Arial" w:cs="Arial"/>
          <w:sz w:val="20"/>
          <w:szCs w:val="20"/>
        </w:rPr>
        <w:t xml:space="preserve">+ Bac Giang: 14.75% </w:t>
      </w:r>
    </w:p>
    <w:p w:rsidR="006E40BA" w:rsidRDefault="00E40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729">
        <w:rPr>
          <w:rFonts w:ascii="Arial" w:hAnsi="Arial" w:cs="Arial"/>
          <w:sz w:val="20"/>
          <w:szCs w:val="20"/>
        </w:rPr>
        <w:t xml:space="preserve">+ Luc Nam: </w:t>
      </w:r>
      <w:r w:rsidR="006E40BA" w:rsidRPr="00E40729">
        <w:rPr>
          <w:rFonts w:ascii="Arial" w:hAnsi="Arial" w:cs="Arial"/>
          <w:sz w:val="20"/>
          <w:szCs w:val="20"/>
        </w:rPr>
        <w:t xml:space="preserve">11% </w:t>
      </w:r>
    </w:p>
    <w:p w:rsidR="00E40729" w:rsidRDefault="006E40B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Investment:</w:t>
      </w:r>
      <w:r w:rsidR="00E40729" w:rsidRPr="00E407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VND</w:t>
      </w:r>
      <w:r w:rsidR="00E40729" w:rsidRPr="00E40729">
        <w:rPr>
          <w:rFonts w:ascii="Arial" w:hAnsi="Arial" w:cs="Arial"/>
          <w:sz w:val="20"/>
          <w:szCs w:val="20"/>
        </w:rPr>
        <w:t xml:space="preserve"> 52.1 billion </w:t>
      </w:r>
    </w:p>
    <w:p w:rsidR="00561BD1" w:rsidRDefault="006E40B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plan on</w:t>
      </w:r>
      <w:r w:rsidRPr="006E40BA">
        <w:rPr>
          <w:rFonts w:ascii="Arial" w:hAnsi="Arial" w:cs="Arial"/>
          <w:sz w:val="20"/>
          <w:szCs w:val="20"/>
        </w:rPr>
        <w:t xml:space="preserve"> profit distribution </w:t>
      </w:r>
    </w:p>
    <w:p w:rsidR="00561BD1" w:rsidRDefault="00561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Dividend for 2019 (1.99%): VND 199/</w:t>
      </w:r>
      <w:r w:rsidR="006E40BA" w:rsidRPr="006E40BA">
        <w:rPr>
          <w:rFonts w:ascii="Arial" w:hAnsi="Arial" w:cs="Arial"/>
          <w:sz w:val="20"/>
          <w:szCs w:val="20"/>
        </w:rPr>
        <w:t xml:space="preserve">share </w:t>
      </w:r>
    </w:p>
    <w:p w:rsidR="00561BD1" w:rsidRDefault="00561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E40BA" w:rsidRPr="006E40BA">
        <w:rPr>
          <w:rFonts w:ascii="Arial" w:hAnsi="Arial" w:cs="Arial"/>
          <w:sz w:val="20"/>
          <w:szCs w:val="20"/>
        </w:rPr>
        <w:t xml:space="preserve"> Profit distribution plan in 2020: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860"/>
        <w:gridCol w:w="1890"/>
        <w:gridCol w:w="2268"/>
      </w:tblGrid>
      <w:tr w:rsidR="00561BD1" w:rsidTr="008B2D34">
        <w:tc>
          <w:tcPr>
            <w:tcW w:w="558" w:type="dxa"/>
          </w:tcPr>
          <w:p w:rsidR="00561BD1" w:rsidRDefault="00561BD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60" w:type="dxa"/>
          </w:tcPr>
          <w:p w:rsidR="00561BD1" w:rsidRDefault="00561BD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890" w:type="dxa"/>
          </w:tcPr>
          <w:p w:rsidR="00561BD1" w:rsidRDefault="00561BD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268" w:type="dxa"/>
          </w:tcPr>
          <w:p w:rsidR="00561BD1" w:rsidRDefault="00561BD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distribution plan</w:t>
            </w:r>
          </w:p>
        </w:tc>
      </w:tr>
      <w:tr w:rsidR="00561BD1" w:rsidTr="008B2D34">
        <w:tc>
          <w:tcPr>
            <w:tcW w:w="558" w:type="dxa"/>
          </w:tcPr>
          <w:p w:rsidR="00561BD1" w:rsidRDefault="00561BD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561BD1" w:rsidRDefault="00561BD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0BA">
              <w:rPr>
                <w:rFonts w:ascii="Arial" w:hAnsi="Arial" w:cs="Arial"/>
                <w:sz w:val="20"/>
                <w:szCs w:val="20"/>
              </w:rPr>
              <w:t xml:space="preserve">Charter capital  </w:t>
            </w:r>
          </w:p>
        </w:tc>
        <w:tc>
          <w:tcPr>
            <w:tcW w:w="1890" w:type="dxa"/>
          </w:tcPr>
          <w:p w:rsidR="00561BD1" w:rsidRDefault="008B2D3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268" w:type="dxa"/>
          </w:tcPr>
          <w:p w:rsidR="00561BD1" w:rsidRDefault="004E5AA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181.494</w:t>
            </w:r>
          </w:p>
        </w:tc>
      </w:tr>
      <w:tr w:rsidR="008B2D34" w:rsidTr="008B2D34">
        <w:tc>
          <w:tcPr>
            <w:tcW w:w="558" w:type="dxa"/>
          </w:tcPr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0BA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890" w:type="dxa"/>
          </w:tcPr>
          <w:p w:rsidR="008B2D34" w:rsidRDefault="008B2D34" w:rsidP="008B2D34">
            <w:r w:rsidRPr="00152981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268" w:type="dxa"/>
          </w:tcPr>
          <w:p w:rsidR="008B2D34" w:rsidRDefault="004E5AA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</w:tr>
      <w:tr w:rsidR="008B2D34" w:rsidTr="008B2D34">
        <w:tc>
          <w:tcPr>
            <w:tcW w:w="558" w:type="dxa"/>
          </w:tcPr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0BA"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1890" w:type="dxa"/>
          </w:tcPr>
          <w:p w:rsidR="008B2D34" w:rsidRDefault="008B2D34" w:rsidP="008B2D34">
            <w:r w:rsidRPr="00152981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268" w:type="dxa"/>
          </w:tcPr>
          <w:p w:rsidR="008B2D34" w:rsidRDefault="004E5AA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8B2D34" w:rsidTr="008B2D34">
        <w:tc>
          <w:tcPr>
            <w:tcW w:w="558" w:type="dxa"/>
          </w:tcPr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0BA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890" w:type="dxa"/>
          </w:tcPr>
          <w:p w:rsidR="008B2D34" w:rsidRDefault="008B2D34" w:rsidP="008B2D34">
            <w:r w:rsidRPr="00152981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268" w:type="dxa"/>
          </w:tcPr>
          <w:p w:rsidR="008B2D34" w:rsidRDefault="004E5AA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8B2D34" w:rsidTr="008B2D34">
        <w:tc>
          <w:tcPr>
            <w:tcW w:w="558" w:type="dxa"/>
          </w:tcPr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0BA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890" w:type="dxa"/>
          </w:tcPr>
          <w:p w:rsidR="008B2D34" w:rsidRDefault="008B2D34" w:rsidP="008B2D34">
            <w:r w:rsidRPr="00152981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268" w:type="dxa"/>
          </w:tcPr>
          <w:p w:rsidR="008B2D34" w:rsidRDefault="004E5AA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8B2D34" w:rsidTr="008B2D34">
        <w:tc>
          <w:tcPr>
            <w:tcW w:w="558" w:type="dxa"/>
          </w:tcPr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0" w:type="dxa"/>
          </w:tcPr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0BA">
              <w:rPr>
                <w:rFonts w:ascii="Arial" w:hAnsi="Arial" w:cs="Arial"/>
                <w:sz w:val="20"/>
                <w:szCs w:val="20"/>
              </w:rPr>
              <w:t>2020 profit used for distribution (whole)</w:t>
            </w:r>
          </w:p>
        </w:tc>
        <w:tc>
          <w:tcPr>
            <w:tcW w:w="1890" w:type="dxa"/>
          </w:tcPr>
          <w:p w:rsidR="008B2D34" w:rsidRDefault="008B2D34" w:rsidP="008B2D34">
            <w:r w:rsidRPr="00152981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268" w:type="dxa"/>
          </w:tcPr>
          <w:p w:rsidR="008B2D34" w:rsidRDefault="004E5AA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8B2D34" w:rsidTr="008B2D34">
        <w:tc>
          <w:tcPr>
            <w:tcW w:w="558" w:type="dxa"/>
          </w:tcPr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0" w:type="dxa"/>
          </w:tcPr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</w:t>
            </w:r>
            <w:r w:rsidRPr="006E40BA">
              <w:rPr>
                <w:rFonts w:ascii="Arial" w:hAnsi="Arial" w:cs="Arial"/>
                <w:sz w:val="20"/>
                <w:szCs w:val="20"/>
              </w:rPr>
              <w:t xml:space="preserve"> funds from </w:t>
            </w:r>
            <w:r>
              <w:rPr>
                <w:rFonts w:ascii="Arial" w:hAnsi="Arial" w:cs="Arial"/>
                <w:sz w:val="20"/>
                <w:szCs w:val="20"/>
              </w:rPr>
              <w:t>profit after tax of</w:t>
            </w:r>
            <w:r w:rsidRPr="006E40BA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0BA">
              <w:rPr>
                <w:rFonts w:ascii="Arial" w:hAnsi="Arial" w:cs="Arial"/>
                <w:sz w:val="20"/>
                <w:szCs w:val="20"/>
              </w:rPr>
              <w:t>+ Bonus and welfare fund: (30%)</w:t>
            </w:r>
          </w:p>
        </w:tc>
        <w:tc>
          <w:tcPr>
            <w:tcW w:w="1890" w:type="dxa"/>
          </w:tcPr>
          <w:p w:rsidR="008B2D34" w:rsidRDefault="008B2D34" w:rsidP="008B2D34">
            <w:r w:rsidRPr="00152981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268" w:type="dxa"/>
          </w:tcPr>
          <w:p w:rsidR="008B2D34" w:rsidRDefault="004E5AA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1.680</w:t>
            </w:r>
          </w:p>
        </w:tc>
      </w:tr>
      <w:tr w:rsidR="008B2D34" w:rsidTr="008B2D34">
        <w:tc>
          <w:tcPr>
            <w:tcW w:w="558" w:type="dxa"/>
          </w:tcPr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0" w:type="dxa"/>
          </w:tcPr>
          <w:p w:rsidR="008B2D34" w:rsidRDefault="008B2D3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  <w:r w:rsidRPr="006E40BA">
              <w:rPr>
                <w:rFonts w:ascii="Arial" w:hAnsi="Arial" w:cs="Arial"/>
                <w:sz w:val="20"/>
                <w:szCs w:val="20"/>
              </w:rPr>
              <w:t>(all remaining profit)</w:t>
            </w:r>
          </w:p>
        </w:tc>
        <w:tc>
          <w:tcPr>
            <w:tcW w:w="1890" w:type="dxa"/>
          </w:tcPr>
          <w:p w:rsidR="008B2D34" w:rsidRDefault="008B2D34" w:rsidP="008B2D34">
            <w:r w:rsidRPr="00152981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268" w:type="dxa"/>
          </w:tcPr>
          <w:p w:rsidR="008B2D34" w:rsidRDefault="004E5AA4" w:rsidP="008B2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3.920</w:t>
            </w:r>
          </w:p>
        </w:tc>
      </w:tr>
      <w:tr w:rsidR="00561BD1" w:rsidTr="008B2D34">
        <w:tc>
          <w:tcPr>
            <w:tcW w:w="558" w:type="dxa"/>
          </w:tcPr>
          <w:p w:rsidR="00561BD1" w:rsidRDefault="008B2D3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0" w:type="dxa"/>
          </w:tcPr>
          <w:p w:rsidR="00561BD1" w:rsidRDefault="008B2D3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  <w:r w:rsidRPr="006E40BA">
              <w:rPr>
                <w:rFonts w:ascii="Arial" w:hAnsi="Arial" w:cs="Arial"/>
                <w:sz w:val="20"/>
                <w:szCs w:val="20"/>
              </w:rPr>
              <w:t>(2.15%)</w:t>
            </w:r>
          </w:p>
        </w:tc>
        <w:tc>
          <w:tcPr>
            <w:tcW w:w="1890" w:type="dxa"/>
          </w:tcPr>
          <w:p w:rsidR="00561BD1" w:rsidRDefault="008B2D3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VND/ share</w:t>
            </w:r>
          </w:p>
        </w:tc>
        <w:tc>
          <w:tcPr>
            <w:tcW w:w="2268" w:type="dxa"/>
          </w:tcPr>
          <w:p w:rsidR="00561BD1" w:rsidRDefault="004E5AA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</w:tr>
    </w:tbl>
    <w:p w:rsidR="00561BD1" w:rsidRDefault="00561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357F" w:rsidRDefault="004E5A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AA4">
        <w:rPr>
          <w:rFonts w:ascii="Arial" w:hAnsi="Arial" w:cs="Arial"/>
          <w:sz w:val="20"/>
          <w:szCs w:val="20"/>
        </w:rPr>
        <w:t>Article 3: Approve the report</w:t>
      </w:r>
      <w:r w:rsidR="0057357F">
        <w:rPr>
          <w:rFonts w:ascii="Arial" w:hAnsi="Arial" w:cs="Arial"/>
          <w:sz w:val="20"/>
          <w:szCs w:val="20"/>
        </w:rPr>
        <w:t xml:space="preserve"> on</w:t>
      </w:r>
      <w:r w:rsidRPr="004E5AA4">
        <w:rPr>
          <w:rFonts w:ascii="Arial" w:hAnsi="Arial" w:cs="Arial"/>
          <w:sz w:val="20"/>
          <w:szCs w:val="20"/>
        </w:rPr>
        <w:t xml:space="preserve"> </w:t>
      </w:r>
      <w:r w:rsidR="0057357F" w:rsidRPr="004E5AA4">
        <w:rPr>
          <w:rFonts w:ascii="Arial" w:hAnsi="Arial" w:cs="Arial"/>
          <w:sz w:val="20"/>
          <w:szCs w:val="20"/>
        </w:rPr>
        <w:t xml:space="preserve">remuneration </w:t>
      </w:r>
      <w:r w:rsidRPr="004E5AA4">
        <w:rPr>
          <w:rFonts w:ascii="Arial" w:hAnsi="Arial" w:cs="Arial"/>
          <w:sz w:val="20"/>
          <w:szCs w:val="20"/>
        </w:rPr>
        <w:t>of the Board of Directors, Board of Supervisors, Company Secretary</w:t>
      </w:r>
      <w:r w:rsidR="0057357F">
        <w:rPr>
          <w:rFonts w:ascii="Arial" w:hAnsi="Arial" w:cs="Arial"/>
          <w:sz w:val="20"/>
          <w:szCs w:val="20"/>
        </w:rPr>
        <w:t xml:space="preserve"> for 2019, </w:t>
      </w:r>
      <w:r w:rsidR="00472B8B">
        <w:rPr>
          <w:rFonts w:ascii="Arial" w:hAnsi="Arial" w:cs="Arial"/>
          <w:sz w:val="20"/>
          <w:szCs w:val="20"/>
        </w:rPr>
        <w:t xml:space="preserve">remuneration </w:t>
      </w:r>
      <w:r w:rsidR="0057357F">
        <w:rPr>
          <w:rFonts w:ascii="Arial" w:hAnsi="Arial" w:cs="Arial"/>
          <w:sz w:val="20"/>
          <w:szCs w:val="20"/>
        </w:rPr>
        <w:t>payment plan for 2020</w:t>
      </w:r>
    </w:p>
    <w:p w:rsidR="0057357F" w:rsidRDefault="004E5A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AA4">
        <w:rPr>
          <w:rFonts w:ascii="Arial" w:hAnsi="Arial" w:cs="Arial"/>
          <w:sz w:val="20"/>
          <w:szCs w:val="20"/>
        </w:rPr>
        <w:t xml:space="preserve">* Remuneration paid in 2019: </w:t>
      </w:r>
    </w:p>
    <w:p w:rsidR="0011030B" w:rsidRDefault="004E5A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AA4">
        <w:rPr>
          <w:rFonts w:ascii="Arial" w:hAnsi="Arial" w:cs="Arial"/>
          <w:sz w:val="20"/>
          <w:szCs w:val="20"/>
        </w:rPr>
        <w:t xml:space="preserve">- Member of the Board of Directors: </w:t>
      </w:r>
      <w:r w:rsidR="0057357F" w:rsidRPr="004E5AA4">
        <w:rPr>
          <w:rFonts w:ascii="Arial" w:hAnsi="Arial" w:cs="Arial"/>
          <w:sz w:val="20"/>
          <w:szCs w:val="20"/>
        </w:rPr>
        <w:t xml:space="preserve">VND </w:t>
      </w:r>
      <w:r w:rsidR="0057357F">
        <w:rPr>
          <w:rFonts w:ascii="Arial" w:hAnsi="Arial" w:cs="Arial"/>
          <w:sz w:val="20"/>
          <w:szCs w:val="20"/>
        </w:rPr>
        <w:t>2.0 million/</w:t>
      </w:r>
      <w:r w:rsidRPr="004E5AA4">
        <w:rPr>
          <w:rFonts w:ascii="Arial" w:hAnsi="Arial" w:cs="Arial"/>
          <w:sz w:val="20"/>
          <w:szCs w:val="20"/>
        </w:rPr>
        <w:t xml:space="preserve">month </w:t>
      </w:r>
    </w:p>
    <w:p w:rsidR="0011030B" w:rsidRDefault="004E5A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AA4">
        <w:rPr>
          <w:rFonts w:ascii="Arial" w:hAnsi="Arial" w:cs="Arial"/>
          <w:sz w:val="20"/>
          <w:szCs w:val="20"/>
        </w:rPr>
        <w:t xml:space="preserve">- Head of the Supervisory Board: </w:t>
      </w:r>
      <w:r w:rsidR="0011030B">
        <w:rPr>
          <w:rFonts w:ascii="Arial" w:hAnsi="Arial" w:cs="Arial"/>
          <w:sz w:val="20"/>
          <w:szCs w:val="20"/>
        </w:rPr>
        <w:t>VND 1.2 million/</w:t>
      </w:r>
      <w:r w:rsidRPr="004E5AA4">
        <w:rPr>
          <w:rFonts w:ascii="Arial" w:hAnsi="Arial" w:cs="Arial"/>
          <w:sz w:val="20"/>
          <w:szCs w:val="20"/>
        </w:rPr>
        <w:t xml:space="preserve">month </w:t>
      </w:r>
    </w:p>
    <w:p w:rsidR="00B82B7A" w:rsidRDefault="0011030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E5AA4" w:rsidRPr="004E5AA4">
        <w:rPr>
          <w:rFonts w:ascii="Arial" w:hAnsi="Arial" w:cs="Arial"/>
          <w:sz w:val="20"/>
          <w:szCs w:val="20"/>
        </w:rPr>
        <w:t xml:space="preserve">Member of the Supervisory Board: </w:t>
      </w:r>
      <w:r>
        <w:rPr>
          <w:rFonts w:ascii="Arial" w:hAnsi="Arial" w:cs="Arial"/>
          <w:sz w:val="20"/>
          <w:szCs w:val="20"/>
        </w:rPr>
        <w:t>VND 1.0 million/</w:t>
      </w:r>
      <w:r w:rsidR="004E5AA4" w:rsidRPr="004E5AA4">
        <w:rPr>
          <w:rFonts w:ascii="Arial" w:hAnsi="Arial" w:cs="Arial"/>
          <w:sz w:val="20"/>
          <w:szCs w:val="20"/>
        </w:rPr>
        <w:t xml:space="preserve">month </w:t>
      </w:r>
    </w:p>
    <w:p w:rsidR="00B82B7A" w:rsidRDefault="00B82B7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Company Secretary: VND 1.0 million/</w:t>
      </w:r>
      <w:r w:rsidR="004E5AA4" w:rsidRPr="004E5AA4">
        <w:rPr>
          <w:rFonts w:ascii="Arial" w:hAnsi="Arial" w:cs="Arial"/>
          <w:sz w:val="20"/>
          <w:szCs w:val="20"/>
        </w:rPr>
        <w:t xml:space="preserve">month </w:t>
      </w:r>
    </w:p>
    <w:p w:rsidR="00B82B7A" w:rsidRDefault="004E5A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AA4">
        <w:rPr>
          <w:rFonts w:ascii="Arial" w:hAnsi="Arial" w:cs="Arial"/>
          <w:sz w:val="20"/>
          <w:szCs w:val="20"/>
        </w:rPr>
        <w:t xml:space="preserve">* Remuneration payment plan for 2020: </w:t>
      </w:r>
    </w:p>
    <w:p w:rsidR="00E55270" w:rsidRDefault="004E5A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AA4">
        <w:rPr>
          <w:rFonts w:ascii="Arial" w:hAnsi="Arial" w:cs="Arial"/>
          <w:sz w:val="20"/>
          <w:szCs w:val="20"/>
        </w:rPr>
        <w:t>- Member of the Boar</w:t>
      </w:r>
      <w:r w:rsidR="00E55270">
        <w:rPr>
          <w:rFonts w:ascii="Arial" w:hAnsi="Arial" w:cs="Arial"/>
          <w:sz w:val="20"/>
          <w:szCs w:val="20"/>
        </w:rPr>
        <w:t>d of Directors: VND 2.0 million/</w:t>
      </w:r>
      <w:r w:rsidRPr="004E5AA4">
        <w:rPr>
          <w:rFonts w:ascii="Arial" w:hAnsi="Arial" w:cs="Arial"/>
          <w:sz w:val="20"/>
          <w:szCs w:val="20"/>
        </w:rPr>
        <w:t xml:space="preserve">month </w:t>
      </w:r>
    </w:p>
    <w:p w:rsidR="00E55270" w:rsidRDefault="004E5A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AA4">
        <w:rPr>
          <w:rFonts w:ascii="Arial" w:hAnsi="Arial" w:cs="Arial"/>
          <w:sz w:val="20"/>
          <w:szCs w:val="20"/>
        </w:rPr>
        <w:t xml:space="preserve">- Head of the Supervisory </w:t>
      </w:r>
      <w:r w:rsidR="00E55270">
        <w:rPr>
          <w:rFonts w:ascii="Arial" w:hAnsi="Arial" w:cs="Arial"/>
          <w:sz w:val="20"/>
          <w:szCs w:val="20"/>
        </w:rPr>
        <w:t>Board: VND 1.2 million</w:t>
      </w:r>
      <w:r w:rsidRPr="004E5AA4">
        <w:rPr>
          <w:rFonts w:ascii="Arial" w:hAnsi="Arial" w:cs="Arial"/>
          <w:sz w:val="20"/>
          <w:szCs w:val="20"/>
        </w:rPr>
        <w:t xml:space="preserve">/month </w:t>
      </w:r>
    </w:p>
    <w:p w:rsidR="00E55270" w:rsidRDefault="004E5A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AA4">
        <w:rPr>
          <w:rFonts w:ascii="Arial" w:hAnsi="Arial" w:cs="Arial"/>
          <w:sz w:val="20"/>
          <w:szCs w:val="20"/>
        </w:rPr>
        <w:t>- Me</w:t>
      </w:r>
      <w:r w:rsidR="00E55270">
        <w:rPr>
          <w:rFonts w:ascii="Arial" w:hAnsi="Arial" w:cs="Arial"/>
          <w:sz w:val="20"/>
          <w:szCs w:val="20"/>
        </w:rPr>
        <w:t>mbers of the Supervisory Board:</w:t>
      </w:r>
      <w:r w:rsidRPr="004E5AA4">
        <w:rPr>
          <w:rFonts w:ascii="Arial" w:hAnsi="Arial" w:cs="Arial"/>
          <w:sz w:val="20"/>
          <w:szCs w:val="20"/>
        </w:rPr>
        <w:t xml:space="preserve"> </w:t>
      </w:r>
      <w:r w:rsidR="00E55270">
        <w:rPr>
          <w:rFonts w:ascii="Arial" w:hAnsi="Arial" w:cs="Arial"/>
          <w:sz w:val="20"/>
          <w:szCs w:val="20"/>
        </w:rPr>
        <w:t>VND 1.0 million/</w:t>
      </w:r>
      <w:r w:rsidRPr="004E5AA4">
        <w:rPr>
          <w:rFonts w:ascii="Arial" w:hAnsi="Arial" w:cs="Arial"/>
          <w:sz w:val="20"/>
          <w:szCs w:val="20"/>
        </w:rPr>
        <w:t xml:space="preserve">month </w:t>
      </w:r>
    </w:p>
    <w:p w:rsidR="00E55270" w:rsidRDefault="004E5A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AA4">
        <w:rPr>
          <w:rFonts w:ascii="Arial" w:hAnsi="Arial" w:cs="Arial"/>
          <w:sz w:val="20"/>
          <w:szCs w:val="20"/>
        </w:rPr>
        <w:t xml:space="preserve">- Company secretary: </w:t>
      </w:r>
      <w:r w:rsidR="00E55270">
        <w:rPr>
          <w:rFonts w:ascii="Arial" w:hAnsi="Arial" w:cs="Arial"/>
          <w:sz w:val="20"/>
          <w:szCs w:val="20"/>
        </w:rPr>
        <w:t xml:space="preserve">VND </w:t>
      </w:r>
      <w:r w:rsidRPr="004E5AA4">
        <w:rPr>
          <w:rFonts w:ascii="Arial" w:hAnsi="Arial" w:cs="Arial"/>
          <w:sz w:val="20"/>
          <w:szCs w:val="20"/>
        </w:rPr>
        <w:t>1.0 million</w:t>
      </w:r>
      <w:r w:rsidR="00E55270">
        <w:rPr>
          <w:rFonts w:ascii="Arial" w:hAnsi="Arial" w:cs="Arial"/>
          <w:sz w:val="20"/>
          <w:szCs w:val="20"/>
        </w:rPr>
        <w:t>/</w:t>
      </w:r>
      <w:r w:rsidRPr="004E5AA4">
        <w:rPr>
          <w:rFonts w:ascii="Arial" w:hAnsi="Arial" w:cs="Arial"/>
          <w:sz w:val="20"/>
          <w:szCs w:val="20"/>
        </w:rPr>
        <w:t xml:space="preserve">month </w:t>
      </w:r>
    </w:p>
    <w:p w:rsidR="00E55270" w:rsidRDefault="004E5A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AA4">
        <w:rPr>
          <w:rFonts w:ascii="Arial" w:hAnsi="Arial" w:cs="Arial"/>
          <w:sz w:val="20"/>
          <w:szCs w:val="20"/>
        </w:rPr>
        <w:t xml:space="preserve">Article 4: Approve the </w:t>
      </w:r>
      <w:r w:rsidR="00E55270">
        <w:rPr>
          <w:rFonts w:ascii="Arial" w:hAnsi="Arial" w:cs="Arial"/>
          <w:sz w:val="20"/>
          <w:szCs w:val="20"/>
        </w:rPr>
        <w:t>statement on</w:t>
      </w:r>
      <w:r w:rsidRPr="004E5AA4">
        <w:rPr>
          <w:rFonts w:ascii="Arial" w:hAnsi="Arial" w:cs="Arial"/>
          <w:sz w:val="20"/>
          <w:szCs w:val="20"/>
        </w:rPr>
        <w:t xml:space="preserve"> </w:t>
      </w:r>
      <w:r w:rsidR="00E55270">
        <w:rPr>
          <w:rFonts w:ascii="Arial" w:hAnsi="Arial" w:cs="Arial"/>
          <w:sz w:val="20"/>
          <w:szCs w:val="20"/>
        </w:rPr>
        <w:t>amending and supplementing the C</w:t>
      </w:r>
      <w:r w:rsidRPr="004E5AA4">
        <w:rPr>
          <w:rFonts w:ascii="Arial" w:hAnsi="Arial" w:cs="Arial"/>
          <w:sz w:val="20"/>
          <w:szCs w:val="20"/>
        </w:rPr>
        <w:t xml:space="preserve">harter </w:t>
      </w:r>
    </w:p>
    <w:p w:rsidR="004E5AA4" w:rsidRDefault="004E5A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AA4">
        <w:rPr>
          <w:rFonts w:ascii="Arial" w:hAnsi="Arial" w:cs="Arial"/>
          <w:sz w:val="20"/>
          <w:szCs w:val="20"/>
        </w:rPr>
        <w:t xml:space="preserve">Adding business lines in Clause 2, Article 5 </w:t>
      </w:r>
    </w:p>
    <w:p w:rsidR="00472B8B" w:rsidRDefault="00472B8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5: Approve authorizing the Board of Directors to select an auditing unit to audit the financial statement of 2020</w:t>
      </w:r>
    </w:p>
    <w:p w:rsidR="00472B8B" w:rsidRDefault="00472B8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Enforcement</w:t>
      </w:r>
    </w:p>
    <w:p w:rsidR="00472B8B" w:rsidRDefault="00472B8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annual General Mandate was approved by the annual General Meeting of Shareholders in 2020 of </w:t>
      </w:r>
      <w:r w:rsidRPr="00472B8B">
        <w:rPr>
          <w:rFonts w:ascii="Arial" w:hAnsi="Arial" w:cs="Arial"/>
          <w:sz w:val="20"/>
          <w:szCs w:val="20"/>
        </w:rPr>
        <w:t>Bac Giang Clean Water Joint Stock Company</w:t>
      </w:r>
      <w:r>
        <w:rPr>
          <w:rFonts w:ascii="Arial" w:hAnsi="Arial" w:cs="Arial"/>
          <w:sz w:val="20"/>
          <w:szCs w:val="20"/>
        </w:rPr>
        <w:t xml:space="preserve"> and takes effect from 28 Jun 2020</w:t>
      </w:r>
    </w:p>
    <w:p w:rsidR="00472B8B" w:rsidRDefault="00472B8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of the Board of Directors, Supervisory Board and shareholders are responsible for implementing it in accordance with the law and the Charter of </w:t>
      </w:r>
      <w:r w:rsidRPr="00472B8B">
        <w:rPr>
          <w:rFonts w:ascii="Arial" w:hAnsi="Arial" w:cs="Arial"/>
          <w:sz w:val="20"/>
          <w:szCs w:val="20"/>
        </w:rPr>
        <w:t>Bac Giang Clean Water Joint Stock Company</w:t>
      </w:r>
      <w:r w:rsidR="00B919D2">
        <w:rPr>
          <w:rFonts w:ascii="Arial" w:hAnsi="Arial" w:cs="Arial"/>
          <w:sz w:val="20"/>
          <w:szCs w:val="20"/>
        </w:rPr>
        <w:t>.</w:t>
      </w:r>
    </w:p>
    <w:p w:rsidR="00472B8B" w:rsidRDefault="00472B8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72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030B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A6CEF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34825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223C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5097"/>
    <w:rsid w:val="003E60D6"/>
    <w:rsid w:val="003E73CA"/>
    <w:rsid w:val="003F38AB"/>
    <w:rsid w:val="00403A9C"/>
    <w:rsid w:val="004115D9"/>
    <w:rsid w:val="00411E47"/>
    <w:rsid w:val="00412CC2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B8B"/>
    <w:rsid w:val="00490B2B"/>
    <w:rsid w:val="00491B54"/>
    <w:rsid w:val="00496733"/>
    <w:rsid w:val="004A554D"/>
    <w:rsid w:val="004B2BA6"/>
    <w:rsid w:val="004B473F"/>
    <w:rsid w:val="004B4798"/>
    <w:rsid w:val="004C0DD9"/>
    <w:rsid w:val="004C144F"/>
    <w:rsid w:val="004D70F9"/>
    <w:rsid w:val="004E4C16"/>
    <w:rsid w:val="004E5AA4"/>
    <w:rsid w:val="004F3452"/>
    <w:rsid w:val="00503DD6"/>
    <w:rsid w:val="00505065"/>
    <w:rsid w:val="0052379D"/>
    <w:rsid w:val="0053093D"/>
    <w:rsid w:val="00534C35"/>
    <w:rsid w:val="0055067A"/>
    <w:rsid w:val="00551A83"/>
    <w:rsid w:val="005610CB"/>
    <w:rsid w:val="00561BD1"/>
    <w:rsid w:val="0057357F"/>
    <w:rsid w:val="00576A91"/>
    <w:rsid w:val="00584222"/>
    <w:rsid w:val="0058434E"/>
    <w:rsid w:val="00585B82"/>
    <w:rsid w:val="005906FC"/>
    <w:rsid w:val="00596DB2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04110"/>
    <w:rsid w:val="0063035E"/>
    <w:rsid w:val="0063581B"/>
    <w:rsid w:val="006374A1"/>
    <w:rsid w:val="006468F5"/>
    <w:rsid w:val="00653D82"/>
    <w:rsid w:val="00662E88"/>
    <w:rsid w:val="00664834"/>
    <w:rsid w:val="006909EF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D01D8"/>
    <w:rsid w:val="006D683C"/>
    <w:rsid w:val="006E15A6"/>
    <w:rsid w:val="006E23FD"/>
    <w:rsid w:val="006E40BA"/>
    <w:rsid w:val="006E5E99"/>
    <w:rsid w:val="006F7079"/>
    <w:rsid w:val="00702AC7"/>
    <w:rsid w:val="00703A99"/>
    <w:rsid w:val="00710F35"/>
    <w:rsid w:val="007218D0"/>
    <w:rsid w:val="00731635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4C8E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B2D34"/>
    <w:rsid w:val="008C0872"/>
    <w:rsid w:val="008C7A42"/>
    <w:rsid w:val="00910D86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66EA5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14EC9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2B7A"/>
    <w:rsid w:val="00B84F6A"/>
    <w:rsid w:val="00B919D2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D3CCA"/>
    <w:rsid w:val="00BD6969"/>
    <w:rsid w:val="00BE3B72"/>
    <w:rsid w:val="00BF0485"/>
    <w:rsid w:val="00C02706"/>
    <w:rsid w:val="00C11B90"/>
    <w:rsid w:val="00C220E2"/>
    <w:rsid w:val="00C2280B"/>
    <w:rsid w:val="00C26F1A"/>
    <w:rsid w:val="00C32F3A"/>
    <w:rsid w:val="00C33F82"/>
    <w:rsid w:val="00C36031"/>
    <w:rsid w:val="00C40291"/>
    <w:rsid w:val="00C47C93"/>
    <w:rsid w:val="00C57CB9"/>
    <w:rsid w:val="00C61E40"/>
    <w:rsid w:val="00C61EAF"/>
    <w:rsid w:val="00C65917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CBB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3F43"/>
    <w:rsid w:val="00E17016"/>
    <w:rsid w:val="00E20A0F"/>
    <w:rsid w:val="00E24F0A"/>
    <w:rsid w:val="00E27923"/>
    <w:rsid w:val="00E313AB"/>
    <w:rsid w:val="00E35884"/>
    <w:rsid w:val="00E40729"/>
    <w:rsid w:val="00E43201"/>
    <w:rsid w:val="00E44453"/>
    <w:rsid w:val="00E47B26"/>
    <w:rsid w:val="00E51F4E"/>
    <w:rsid w:val="00E53A5C"/>
    <w:rsid w:val="00E55270"/>
    <w:rsid w:val="00E5565D"/>
    <w:rsid w:val="00E65132"/>
    <w:rsid w:val="00E7691C"/>
    <w:rsid w:val="00E87575"/>
    <w:rsid w:val="00E940FA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3E13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914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334</cp:revision>
  <dcterms:created xsi:type="dcterms:W3CDTF">2019-10-16T10:03:00Z</dcterms:created>
  <dcterms:modified xsi:type="dcterms:W3CDTF">2020-07-08T01:51:00Z</dcterms:modified>
</cp:coreProperties>
</file>